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80" w:lineRule="exact"/>
        <w:jc w:val="left"/>
        <w:rPr>
          <w:rFonts w:ascii="Times New Roman" w:hAnsi="Times New Roman"/>
          <w:b/>
          <w:bCs/>
          <w:sz w:val="28"/>
        </w:rPr>
      </w:pPr>
      <w:r>
        <w:rPr>
          <w:rFonts w:hint="eastAsia" w:ascii="Times New Roman" w:hAnsi="Times New Roman"/>
          <w:b/>
          <w:bCs/>
          <w:sz w:val="28"/>
        </w:rPr>
        <w:t>附件5</w:t>
      </w:r>
    </w:p>
    <w:p>
      <w:pPr>
        <w:rPr>
          <w:sz w:val="28"/>
          <w:szCs w:val="32"/>
        </w:rPr>
      </w:pPr>
    </w:p>
    <w:p>
      <w:pPr>
        <w:rPr>
          <w:sz w:val="28"/>
          <w:szCs w:val="32"/>
        </w:rPr>
      </w:pPr>
      <w:r>
        <w:rPr>
          <w:sz w:val="28"/>
          <w:szCs w:val="32"/>
        </w:rPr>
        <w:drawing>
          <wp:inline distT="0" distB="0" distL="0" distR="0">
            <wp:extent cx="5274310" cy="4008120"/>
            <wp:effectExtent l="0" t="0" r="2540" b="11430"/>
            <wp:docPr id="1" name="图片 1" descr="D:\2020年项目\23钱塘江堤防及岸线整体提升改造规划国际征集服务\前期研究阶段\前期研究报告\范围图-恢复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2020年项目\23钱塘江堤防及岸线整体提升改造规划国际征集服务\前期研究阶段\前期研究报告\范围图-恢复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附图：规划范围示意图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66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杭州知政</cp:lastModifiedBy>
  <dcterms:modified xsi:type="dcterms:W3CDTF">2021-02-02T08:04:46Z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